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F0B8" w14:textId="77777777" w:rsidR="00F37EA9" w:rsidRPr="00463D36" w:rsidRDefault="00F37EA9" w:rsidP="00F37EA9">
      <w:pPr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84"/>
          <w:tab w:val="clear" w:pos="360"/>
        </w:tabs>
        <w:autoSpaceDE/>
        <w:autoSpaceDN/>
        <w:adjustRightInd/>
        <w:spacing w:after="0"/>
        <w:ind w:firstLine="720"/>
        <w:jc w:val="center"/>
        <w:outlineLvl w:val="0"/>
        <w:rPr>
          <w:rFonts w:eastAsia="Arial"/>
          <w:b/>
          <w:i/>
          <w:iCs/>
          <w:color w:val="auto"/>
          <w:sz w:val="24"/>
          <w:szCs w:val="24"/>
          <w:lang w:val="fr"/>
        </w:rPr>
      </w:pPr>
      <w:bookmarkStart w:id="0" w:name="_Toc94802137"/>
      <w:r w:rsidRPr="00463D36">
        <w:rPr>
          <w:rFonts w:eastAsia="Arial"/>
          <w:b/>
          <w:i/>
          <w:iCs/>
          <w:color w:val="auto"/>
          <w:sz w:val="24"/>
          <w:szCs w:val="24"/>
          <w:lang w:val="fr"/>
        </w:rPr>
        <w:t>AVIS D’APPEL D’OFFRES NATIONAL OUVERT</w:t>
      </w:r>
      <w:bookmarkEnd w:id="0"/>
    </w:p>
    <w:p w14:paraId="6E1D9D6E" w14:textId="77777777" w:rsidR="00F37EA9" w:rsidRPr="00463D36" w:rsidRDefault="00F37EA9" w:rsidP="00F37EA9">
      <w:pPr>
        <w:rPr>
          <w:sz w:val="24"/>
          <w:szCs w:val="24"/>
        </w:rPr>
      </w:pPr>
    </w:p>
    <w:p w14:paraId="012D75F5" w14:textId="7DBFFEED" w:rsidR="00F37EA9" w:rsidRPr="00463D36" w:rsidRDefault="00F37EA9" w:rsidP="00F37EA9">
      <w:pPr>
        <w:rPr>
          <w:rFonts w:eastAsia="Arial"/>
          <w:bCs w:val="0"/>
          <w:sz w:val="24"/>
          <w:szCs w:val="24"/>
        </w:rPr>
      </w:pPr>
      <w:r w:rsidRPr="00463D36">
        <w:rPr>
          <w:rFonts w:eastAsia="Arial"/>
          <w:b/>
          <w:sz w:val="24"/>
          <w:szCs w:val="24"/>
        </w:rPr>
        <w:t xml:space="preserve">Date </w:t>
      </w:r>
      <w:r w:rsidRPr="00463D36">
        <w:rPr>
          <w:sz w:val="24"/>
          <w:szCs w:val="24"/>
        </w:rPr>
        <w:tab/>
      </w:r>
      <w:r w:rsidRPr="00463D36">
        <w:rPr>
          <w:sz w:val="24"/>
          <w:szCs w:val="24"/>
        </w:rPr>
        <w:tab/>
      </w:r>
      <w:r w:rsidRPr="00463D36">
        <w:rPr>
          <w:rFonts w:eastAsia="Arial"/>
          <w:bCs w:val="0"/>
          <w:color w:val="auto"/>
          <w:sz w:val="24"/>
          <w:szCs w:val="24"/>
        </w:rPr>
        <w:t xml:space="preserve">: </w:t>
      </w:r>
      <w:r w:rsidR="00CB69BB">
        <w:rPr>
          <w:rFonts w:eastAsia="Arial"/>
          <w:bCs w:val="0"/>
          <w:color w:val="auto"/>
          <w:sz w:val="24"/>
          <w:szCs w:val="24"/>
        </w:rPr>
        <w:t>0</w:t>
      </w:r>
      <w:r w:rsidR="00853991">
        <w:rPr>
          <w:rFonts w:eastAsia="Arial"/>
          <w:bCs w:val="0"/>
          <w:color w:val="auto"/>
          <w:sz w:val="24"/>
          <w:szCs w:val="24"/>
        </w:rPr>
        <w:t>9</w:t>
      </w:r>
      <w:r w:rsidR="00CB69BB">
        <w:rPr>
          <w:rFonts w:eastAsia="Arial"/>
          <w:bCs w:val="0"/>
          <w:color w:val="auto"/>
          <w:sz w:val="24"/>
          <w:szCs w:val="24"/>
        </w:rPr>
        <w:t xml:space="preserve"> </w:t>
      </w:r>
      <w:r w:rsidR="00853991">
        <w:rPr>
          <w:rFonts w:eastAsia="Arial"/>
          <w:bCs w:val="0"/>
          <w:color w:val="auto"/>
          <w:sz w:val="24"/>
          <w:szCs w:val="24"/>
        </w:rPr>
        <w:t>avril</w:t>
      </w:r>
      <w:r w:rsidR="00CB69BB">
        <w:rPr>
          <w:rFonts w:eastAsia="Arial"/>
          <w:bCs w:val="0"/>
          <w:color w:val="auto"/>
          <w:sz w:val="24"/>
          <w:szCs w:val="24"/>
        </w:rPr>
        <w:t xml:space="preserve"> 2025</w:t>
      </w:r>
    </w:p>
    <w:p w14:paraId="4812E82F" w14:textId="54DAC430" w:rsidR="00F37EA9" w:rsidRPr="00463D36" w:rsidRDefault="00F37EA9" w:rsidP="00F37EA9">
      <w:pPr>
        <w:rPr>
          <w:rFonts w:eastAsia="Arial"/>
          <w:b/>
          <w:sz w:val="24"/>
          <w:szCs w:val="24"/>
        </w:rPr>
      </w:pPr>
      <w:r w:rsidRPr="00463D36">
        <w:rPr>
          <w:rFonts w:eastAsia="Arial"/>
          <w:b/>
          <w:sz w:val="24"/>
          <w:szCs w:val="24"/>
        </w:rPr>
        <w:t xml:space="preserve">Financement </w:t>
      </w:r>
      <w:r w:rsidRPr="00463D36">
        <w:rPr>
          <w:sz w:val="24"/>
          <w:szCs w:val="24"/>
        </w:rPr>
        <w:tab/>
      </w:r>
      <w:r w:rsidRPr="00463D36">
        <w:rPr>
          <w:rFonts w:eastAsia="Arial"/>
          <w:b/>
          <w:sz w:val="24"/>
          <w:szCs w:val="24"/>
        </w:rPr>
        <w:t xml:space="preserve">: </w:t>
      </w:r>
      <w:r w:rsidR="00AE3BD2" w:rsidRPr="00463D36">
        <w:rPr>
          <w:rFonts w:eastAsia="Arial"/>
          <w:bCs w:val="0"/>
          <w:sz w:val="24"/>
          <w:szCs w:val="24"/>
        </w:rPr>
        <w:t xml:space="preserve">Ambassade de </w:t>
      </w:r>
      <w:r w:rsidR="00CC7AC2" w:rsidRPr="00463D36">
        <w:rPr>
          <w:rFonts w:eastAsia="Arial"/>
          <w:bCs w:val="0"/>
          <w:sz w:val="24"/>
          <w:szCs w:val="24"/>
        </w:rPr>
        <w:t>France au Burundi</w:t>
      </w:r>
    </w:p>
    <w:p w14:paraId="1862250D" w14:textId="2DDED650" w:rsidR="00F37EA9" w:rsidRPr="008C782F" w:rsidRDefault="00F37EA9" w:rsidP="00F37EA9">
      <w:pPr>
        <w:rPr>
          <w:rFonts w:eastAsia="Arial"/>
          <w:bCs w:val="0"/>
          <w:color w:val="000000" w:themeColor="text1"/>
          <w:sz w:val="24"/>
          <w:szCs w:val="24"/>
          <w:lang w:val="en-US"/>
        </w:rPr>
      </w:pPr>
      <w:r w:rsidRPr="008C782F">
        <w:rPr>
          <w:rFonts w:eastAsia="Arial"/>
          <w:b/>
          <w:sz w:val="24"/>
          <w:szCs w:val="24"/>
          <w:lang w:val="en-US"/>
        </w:rPr>
        <w:t xml:space="preserve">AAO N° </w:t>
      </w:r>
      <w:r w:rsidRPr="008C782F">
        <w:rPr>
          <w:sz w:val="24"/>
          <w:szCs w:val="24"/>
          <w:lang w:val="en-US"/>
        </w:rPr>
        <w:tab/>
      </w:r>
      <w:r w:rsidRPr="008C782F">
        <w:rPr>
          <w:sz w:val="24"/>
          <w:szCs w:val="24"/>
          <w:lang w:val="en-US"/>
        </w:rPr>
        <w:tab/>
      </w:r>
      <w:r w:rsidRPr="008C782F">
        <w:rPr>
          <w:rFonts w:eastAsia="Arial"/>
          <w:b/>
          <w:sz w:val="24"/>
          <w:szCs w:val="24"/>
          <w:lang w:val="en-US"/>
        </w:rPr>
        <w:t xml:space="preserve">: </w:t>
      </w:r>
      <w:r w:rsidRPr="008C782F">
        <w:rPr>
          <w:rFonts w:eastAsia="Arial"/>
          <w:bCs w:val="0"/>
          <w:color w:val="000000" w:themeColor="text1"/>
          <w:sz w:val="24"/>
          <w:szCs w:val="24"/>
          <w:lang w:val="en-US"/>
        </w:rPr>
        <w:t>BSF/AO/202</w:t>
      </w:r>
      <w:r w:rsidR="00AE3BD2" w:rsidRPr="008C782F">
        <w:rPr>
          <w:rFonts w:eastAsia="Arial"/>
          <w:bCs w:val="0"/>
          <w:color w:val="000000" w:themeColor="text1"/>
          <w:sz w:val="24"/>
          <w:szCs w:val="24"/>
          <w:lang w:val="en-US"/>
        </w:rPr>
        <w:t>5</w:t>
      </w:r>
      <w:r w:rsidRPr="008C782F">
        <w:rPr>
          <w:rFonts w:eastAsia="Arial"/>
          <w:bCs w:val="0"/>
          <w:color w:val="000000" w:themeColor="text1"/>
          <w:sz w:val="24"/>
          <w:szCs w:val="24"/>
          <w:lang w:val="en-US"/>
        </w:rPr>
        <w:t>/</w:t>
      </w:r>
      <w:r w:rsidR="00CC3B3D">
        <w:rPr>
          <w:rFonts w:eastAsia="Arial"/>
          <w:bCs w:val="0"/>
          <w:color w:val="000000" w:themeColor="text1"/>
          <w:sz w:val="24"/>
          <w:szCs w:val="24"/>
          <w:lang w:val="en-US"/>
        </w:rPr>
        <w:t>03</w:t>
      </w:r>
    </w:p>
    <w:p w14:paraId="346ED129" w14:textId="77777777" w:rsidR="00604089" w:rsidRPr="008C782F" w:rsidRDefault="00604089" w:rsidP="00F37EA9">
      <w:pPr>
        <w:rPr>
          <w:color w:val="000000" w:themeColor="text1"/>
          <w:sz w:val="24"/>
          <w:szCs w:val="24"/>
          <w:lang w:val="en-US"/>
        </w:rPr>
      </w:pPr>
    </w:p>
    <w:p w14:paraId="082092AC" w14:textId="77777777" w:rsidR="00463D36" w:rsidRPr="00463D36" w:rsidRDefault="00CB62DC" w:rsidP="00F37EA9">
      <w:pPr>
        <w:numPr>
          <w:ilvl w:val="0"/>
          <w:numId w:val="5"/>
        </w:numPr>
        <w:contextualSpacing/>
        <w:rPr>
          <w:rFonts w:eastAsiaTheme="majorEastAsia"/>
          <w:color w:val="000000" w:themeColor="text1"/>
          <w:sz w:val="24"/>
          <w:szCs w:val="24"/>
        </w:rPr>
      </w:pPr>
      <w:r w:rsidRPr="00463D36">
        <w:rPr>
          <w:color w:val="000000" w:themeColor="text1"/>
          <w:sz w:val="24"/>
          <w:szCs w:val="24"/>
        </w:rPr>
        <w:t xml:space="preserve">Bibliothèques Sans Frontières (BSF) a obtenu un financement de l’Ambassade de France au Burundi pour soutenir le projet intitulé « Francophonie numérique au Burundi ». </w:t>
      </w:r>
    </w:p>
    <w:p w14:paraId="517EF04B" w14:textId="6ADC4ABB" w:rsidR="00F37EA9" w:rsidRPr="00463D36" w:rsidRDefault="00CB62DC" w:rsidP="00463D36">
      <w:pPr>
        <w:ind w:left="720"/>
        <w:contextualSpacing/>
        <w:rPr>
          <w:rFonts w:eastAsiaTheme="majorEastAsia"/>
          <w:color w:val="000000" w:themeColor="text1"/>
          <w:sz w:val="24"/>
          <w:szCs w:val="24"/>
        </w:rPr>
      </w:pPr>
      <w:r w:rsidRPr="00463D36">
        <w:rPr>
          <w:color w:val="000000" w:themeColor="text1"/>
          <w:sz w:val="24"/>
          <w:szCs w:val="24"/>
        </w:rPr>
        <w:t>Ce projet a pour objectif de renforcer la maîtrise de la langue française et de redynamiser le réseau des Centres de Lecture et d’Animation Culturelle (</w:t>
      </w:r>
      <w:proofErr w:type="spellStart"/>
      <w:r w:rsidRPr="00463D36">
        <w:rPr>
          <w:color w:val="000000" w:themeColor="text1"/>
          <w:sz w:val="24"/>
          <w:szCs w:val="24"/>
        </w:rPr>
        <w:t>CLACs</w:t>
      </w:r>
      <w:proofErr w:type="spellEnd"/>
      <w:r w:rsidRPr="00463D36">
        <w:rPr>
          <w:color w:val="000000" w:themeColor="text1"/>
          <w:sz w:val="24"/>
          <w:szCs w:val="24"/>
        </w:rPr>
        <w:t xml:space="preserve">), dans le but d'améliorer l'insertion professionnelle des </w:t>
      </w:r>
      <w:r w:rsidR="00604089" w:rsidRPr="00463D36">
        <w:rPr>
          <w:color w:val="000000" w:themeColor="text1"/>
          <w:sz w:val="24"/>
          <w:szCs w:val="24"/>
        </w:rPr>
        <w:t>Burundais.</w:t>
      </w:r>
      <w:r w:rsidR="00604089" w:rsidRPr="00463D36">
        <w:rPr>
          <w:rFonts w:eastAsia="Arial"/>
          <w:sz w:val="24"/>
          <w:szCs w:val="24"/>
        </w:rPr>
        <w:t xml:space="preserve"> Il</w:t>
      </w:r>
      <w:r w:rsidR="00F37EA9" w:rsidRPr="00463D36">
        <w:rPr>
          <w:rFonts w:eastAsia="Arial"/>
          <w:sz w:val="24"/>
          <w:szCs w:val="24"/>
        </w:rPr>
        <w:t xml:space="preserve"> est prévu qu’une </w:t>
      </w:r>
      <w:r w:rsidR="00604089" w:rsidRPr="00463D36">
        <w:rPr>
          <w:rFonts w:eastAsia="Arial"/>
          <w:sz w:val="24"/>
          <w:szCs w:val="24"/>
        </w:rPr>
        <w:t xml:space="preserve">petite </w:t>
      </w:r>
      <w:r w:rsidR="00F37EA9" w:rsidRPr="00463D36">
        <w:rPr>
          <w:rFonts w:eastAsia="Arial"/>
          <w:sz w:val="24"/>
          <w:szCs w:val="24"/>
        </w:rPr>
        <w:t xml:space="preserve">partie des sommes accordées au titre de ce financement </w:t>
      </w:r>
      <w:r w:rsidR="00077C31">
        <w:rPr>
          <w:rFonts w:eastAsia="Arial"/>
          <w:sz w:val="24"/>
          <w:szCs w:val="24"/>
        </w:rPr>
        <w:t>soit</w:t>
      </w:r>
      <w:r w:rsidR="00F37EA9" w:rsidRPr="00463D36">
        <w:rPr>
          <w:rFonts w:eastAsia="Arial"/>
          <w:sz w:val="24"/>
          <w:szCs w:val="24"/>
        </w:rPr>
        <w:t xml:space="preserve"> utilisée pour effectuer les paiements prévus au titre du marché de "FOURNITURE, INSTALLATION ET MISE EN SERVICE DE </w:t>
      </w:r>
      <w:r w:rsidR="00B632AA" w:rsidRPr="00463D36">
        <w:rPr>
          <w:rFonts w:eastAsia="Arial"/>
          <w:sz w:val="24"/>
          <w:szCs w:val="24"/>
        </w:rPr>
        <w:t>2</w:t>
      </w:r>
      <w:r w:rsidR="00F37EA9" w:rsidRPr="00463D36">
        <w:rPr>
          <w:rFonts w:eastAsia="Arial"/>
          <w:sz w:val="24"/>
          <w:szCs w:val="24"/>
        </w:rPr>
        <w:t xml:space="preserve"> SYSTEMES PHOTOVOLTAIQUES DANS LES </w:t>
      </w:r>
      <w:proofErr w:type="spellStart"/>
      <w:r w:rsidR="00CC7AC2" w:rsidRPr="00463D36">
        <w:rPr>
          <w:rFonts w:eastAsia="Arial"/>
          <w:sz w:val="24"/>
          <w:szCs w:val="24"/>
        </w:rPr>
        <w:t>CLAC</w:t>
      </w:r>
      <w:r w:rsidR="00604089" w:rsidRPr="00463D36">
        <w:rPr>
          <w:rFonts w:eastAsia="Arial"/>
          <w:sz w:val="24"/>
          <w:szCs w:val="24"/>
        </w:rPr>
        <w:t>s</w:t>
      </w:r>
      <w:proofErr w:type="spellEnd"/>
      <w:r w:rsidR="00CC7AC2" w:rsidRPr="00463D36">
        <w:rPr>
          <w:rFonts w:eastAsia="Arial"/>
          <w:sz w:val="24"/>
          <w:szCs w:val="24"/>
        </w:rPr>
        <w:t xml:space="preserve"> (</w:t>
      </w:r>
      <w:r w:rsidR="00B632AA" w:rsidRPr="00463D36">
        <w:rPr>
          <w:rFonts w:eastAsia="Arial"/>
          <w:sz w:val="24"/>
          <w:szCs w:val="24"/>
        </w:rPr>
        <w:t>Centre de Lecture d’Animation Culturelle</w:t>
      </w:r>
      <w:r w:rsidR="00C3275D" w:rsidRPr="00463D36">
        <w:rPr>
          <w:rFonts w:eastAsia="Arial"/>
          <w:sz w:val="24"/>
          <w:szCs w:val="24"/>
        </w:rPr>
        <w:t>)</w:t>
      </w:r>
      <w:r w:rsidR="00F37EA9" w:rsidRPr="00463D36">
        <w:rPr>
          <w:rFonts w:eastAsia="Arial"/>
          <w:sz w:val="24"/>
          <w:szCs w:val="24"/>
        </w:rPr>
        <w:t>”</w:t>
      </w:r>
      <w:r w:rsidR="0079268D">
        <w:rPr>
          <w:rFonts w:eastAsia="Arial"/>
          <w:sz w:val="24"/>
          <w:szCs w:val="24"/>
        </w:rPr>
        <w:t xml:space="preserve"> de </w:t>
      </w:r>
      <w:proofErr w:type="spellStart"/>
      <w:r w:rsidR="0079268D">
        <w:rPr>
          <w:rFonts w:eastAsia="Arial"/>
          <w:sz w:val="24"/>
          <w:szCs w:val="24"/>
        </w:rPr>
        <w:t>Bubanza</w:t>
      </w:r>
      <w:proofErr w:type="spellEnd"/>
      <w:r w:rsidR="0079268D">
        <w:rPr>
          <w:rFonts w:eastAsia="Arial"/>
          <w:sz w:val="24"/>
          <w:szCs w:val="24"/>
        </w:rPr>
        <w:t xml:space="preserve"> en Province </w:t>
      </w:r>
      <w:proofErr w:type="spellStart"/>
      <w:r w:rsidR="0079268D">
        <w:rPr>
          <w:rFonts w:eastAsia="Arial"/>
          <w:sz w:val="24"/>
          <w:szCs w:val="24"/>
        </w:rPr>
        <w:t>Bubanza</w:t>
      </w:r>
      <w:proofErr w:type="spellEnd"/>
      <w:r w:rsidR="0079268D">
        <w:rPr>
          <w:rFonts w:eastAsia="Arial"/>
          <w:sz w:val="24"/>
          <w:szCs w:val="24"/>
        </w:rPr>
        <w:t xml:space="preserve"> et </w:t>
      </w:r>
      <w:proofErr w:type="spellStart"/>
      <w:r w:rsidR="0079268D">
        <w:rPr>
          <w:rFonts w:eastAsia="Arial"/>
          <w:sz w:val="24"/>
          <w:szCs w:val="24"/>
        </w:rPr>
        <w:t>Bugendana</w:t>
      </w:r>
      <w:proofErr w:type="spellEnd"/>
      <w:r w:rsidR="0079268D">
        <w:rPr>
          <w:rFonts w:eastAsia="Arial"/>
          <w:sz w:val="24"/>
          <w:szCs w:val="24"/>
        </w:rPr>
        <w:t xml:space="preserve"> en Province de Gitega</w:t>
      </w:r>
      <w:r w:rsidR="00F37EA9" w:rsidRPr="00463D36">
        <w:rPr>
          <w:rFonts w:eastAsia="Arial"/>
          <w:sz w:val="24"/>
          <w:szCs w:val="24"/>
        </w:rPr>
        <w:t xml:space="preserve">. </w:t>
      </w:r>
    </w:p>
    <w:p w14:paraId="0DD55028" w14:textId="77777777" w:rsidR="00F37EA9" w:rsidRPr="00463D36" w:rsidRDefault="00F37EA9" w:rsidP="00F37EA9">
      <w:pPr>
        <w:rPr>
          <w:rFonts w:eastAsia="Arial"/>
          <w:sz w:val="24"/>
          <w:szCs w:val="24"/>
        </w:rPr>
      </w:pPr>
    </w:p>
    <w:p w14:paraId="4B70B904" w14:textId="77777777" w:rsidR="00F37EA9" w:rsidRPr="00463D36" w:rsidRDefault="00F37EA9" w:rsidP="00F37EA9">
      <w:pPr>
        <w:numPr>
          <w:ilvl w:val="0"/>
          <w:numId w:val="5"/>
        </w:numPr>
        <w:contextualSpacing/>
        <w:rPr>
          <w:rFonts w:eastAsiaTheme="majorEastAsia"/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>BSF sollicite des offres sous pli fermés de la part des soumissionnaires éligibles pour la fourniture de :</w:t>
      </w:r>
    </w:p>
    <w:p w14:paraId="3E76A7EB" w14:textId="410EDBFA" w:rsidR="00F37EA9" w:rsidRPr="00463D36" w:rsidRDefault="00F37EA9" w:rsidP="00F37EA9">
      <w:pPr>
        <w:numPr>
          <w:ilvl w:val="0"/>
          <w:numId w:val="4"/>
        </w:numPr>
        <w:contextualSpacing/>
        <w:rPr>
          <w:rFonts w:eastAsiaTheme="majorEastAsia"/>
          <w:b/>
          <w:bCs w:val="0"/>
          <w:i/>
          <w:iCs/>
          <w:color w:val="000000" w:themeColor="text1"/>
          <w:sz w:val="24"/>
          <w:szCs w:val="24"/>
        </w:rPr>
      </w:pP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La fourniture complète des équipements et composantes pour l’installation de </w:t>
      </w:r>
      <w:r w:rsidR="00B30DDC" w:rsidRPr="00463D36">
        <w:rPr>
          <w:rFonts w:eastAsia="Arial"/>
          <w:b/>
          <w:bCs w:val="0"/>
          <w:i/>
          <w:iCs/>
          <w:sz w:val="24"/>
          <w:szCs w:val="24"/>
        </w:rPr>
        <w:t xml:space="preserve">2 </w:t>
      </w:r>
      <w:r w:rsidRPr="00463D36">
        <w:rPr>
          <w:rFonts w:eastAsia="Arial"/>
          <w:b/>
          <w:bCs w:val="0"/>
          <w:i/>
          <w:iCs/>
          <w:sz w:val="24"/>
          <w:szCs w:val="24"/>
        </w:rPr>
        <w:t>systèmes photovoltaïques ;</w:t>
      </w:r>
    </w:p>
    <w:p w14:paraId="6914B790" w14:textId="5C003A67" w:rsidR="00F37EA9" w:rsidRPr="00463D36" w:rsidRDefault="00F37EA9" w:rsidP="00F37EA9">
      <w:pPr>
        <w:numPr>
          <w:ilvl w:val="0"/>
          <w:numId w:val="4"/>
        </w:numPr>
        <w:contextualSpacing/>
        <w:rPr>
          <w:b/>
          <w:bCs w:val="0"/>
          <w:i/>
          <w:iCs/>
          <w:color w:val="000000" w:themeColor="text1"/>
          <w:sz w:val="24"/>
          <w:szCs w:val="24"/>
        </w:rPr>
      </w:pP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L’installation complète de </w:t>
      </w:r>
      <w:r w:rsidR="00B30DDC" w:rsidRPr="00463D36">
        <w:rPr>
          <w:rFonts w:eastAsia="Arial"/>
          <w:b/>
          <w:bCs w:val="0"/>
          <w:i/>
          <w:iCs/>
          <w:sz w:val="24"/>
          <w:szCs w:val="24"/>
        </w:rPr>
        <w:t>2</w:t>
      </w: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 systèmes photovoltaïques ;</w:t>
      </w:r>
    </w:p>
    <w:p w14:paraId="5AD2FD4E" w14:textId="5FE9E0DE" w:rsidR="00F37EA9" w:rsidRPr="00463D36" w:rsidRDefault="00F37EA9" w:rsidP="00F37EA9">
      <w:pPr>
        <w:numPr>
          <w:ilvl w:val="0"/>
          <w:numId w:val="4"/>
        </w:numPr>
        <w:contextualSpacing/>
        <w:rPr>
          <w:b/>
          <w:bCs w:val="0"/>
          <w:i/>
          <w:iCs/>
          <w:color w:val="000000" w:themeColor="text1"/>
          <w:sz w:val="24"/>
          <w:szCs w:val="24"/>
        </w:rPr>
      </w:pP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La mise en service de </w:t>
      </w:r>
      <w:r w:rsidR="00B30DDC" w:rsidRPr="00463D36">
        <w:rPr>
          <w:rFonts w:eastAsia="Arial"/>
          <w:b/>
          <w:bCs w:val="0"/>
          <w:i/>
          <w:iCs/>
          <w:sz w:val="24"/>
          <w:szCs w:val="24"/>
        </w:rPr>
        <w:t>2</w:t>
      </w: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 systèmes photovoltaïques ;</w:t>
      </w:r>
    </w:p>
    <w:p w14:paraId="6B4C8C0D" w14:textId="4D7B6F39" w:rsidR="00F37EA9" w:rsidRPr="00463D36" w:rsidRDefault="00F37EA9" w:rsidP="00F37EA9">
      <w:pPr>
        <w:numPr>
          <w:ilvl w:val="0"/>
          <w:numId w:val="4"/>
        </w:numPr>
        <w:contextualSpacing/>
        <w:rPr>
          <w:b/>
          <w:bCs w:val="0"/>
          <w:i/>
          <w:iCs/>
          <w:color w:val="000000" w:themeColor="text1"/>
          <w:sz w:val="24"/>
          <w:szCs w:val="24"/>
        </w:rPr>
      </w:pP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L’accompagnement initial et la formation aux personnels des </w:t>
      </w:r>
      <w:r w:rsidR="00CC7AC2" w:rsidRPr="00463D36">
        <w:rPr>
          <w:rFonts w:eastAsia="Arial"/>
          <w:b/>
          <w:bCs w:val="0"/>
          <w:i/>
          <w:iCs/>
          <w:sz w:val="24"/>
          <w:szCs w:val="24"/>
        </w:rPr>
        <w:t xml:space="preserve">2 </w:t>
      </w:r>
      <w:proofErr w:type="spellStart"/>
      <w:r w:rsidR="00463D36" w:rsidRPr="00463D36">
        <w:rPr>
          <w:rFonts w:eastAsia="Arial"/>
          <w:b/>
          <w:bCs w:val="0"/>
          <w:i/>
          <w:iCs/>
          <w:sz w:val="24"/>
          <w:szCs w:val="24"/>
        </w:rPr>
        <w:t>CLACs</w:t>
      </w:r>
      <w:proofErr w:type="spellEnd"/>
      <w:r w:rsidR="00463D36" w:rsidRPr="00463D36">
        <w:rPr>
          <w:rFonts w:eastAsia="Arial"/>
          <w:b/>
          <w:bCs w:val="0"/>
          <w:i/>
          <w:iCs/>
          <w:sz w:val="24"/>
          <w:szCs w:val="24"/>
        </w:rPr>
        <w:t xml:space="preserve"> </w:t>
      </w:r>
      <w:r w:rsidR="00CC7AC2" w:rsidRPr="00463D36">
        <w:rPr>
          <w:rFonts w:eastAsia="Arial"/>
          <w:b/>
          <w:bCs w:val="0"/>
          <w:i/>
          <w:iCs/>
          <w:sz w:val="24"/>
          <w:szCs w:val="24"/>
        </w:rPr>
        <w:t>dans</w:t>
      </w: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 les provinces de</w:t>
      </w:r>
      <w:r w:rsidR="00B30DDC" w:rsidRPr="00463D36">
        <w:rPr>
          <w:rFonts w:eastAsia="Arial"/>
          <w:b/>
          <w:bCs w:val="0"/>
          <w:i/>
          <w:iCs/>
          <w:sz w:val="24"/>
          <w:szCs w:val="24"/>
        </w:rPr>
        <w:t xml:space="preserve"> </w:t>
      </w:r>
      <w:proofErr w:type="spellStart"/>
      <w:r w:rsidR="0079268D">
        <w:rPr>
          <w:rFonts w:eastAsia="Arial"/>
          <w:b/>
          <w:bCs w:val="0"/>
          <w:i/>
          <w:iCs/>
          <w:sz w:val="24"/>
          <w:szCs w:val="24"/>
        </w:rPr>
        <w:t>Bubanza</w:t>
      </w:r>
      <w:proofErr w:type="spellEnd"/>
      <w:r w:rsidR="0079268D">
        <w:rPr>
          <w:rFonts w:eastAsia="Arial"/>
          <w:b/>
          <w:bCs w:val="0"/>
          <w:i/>
          <w:iCs/>
          <w:sz w:val="24"/>
          <w:szCs w:val="24"/>
        </w:rPr>
        <w:t xml:space="preserve"> et </w:t>
      </w:r>
      <w:r w:rsidR="00B30DDC" w:rsidRPr="00463D36">
        <w:rPr>
          <w:rFonts w:eastAsia="Arial"/>
          <w:b/>
          <w:bCs w:val="0"/>
          <w:i/>
          <w:iCs/>
          <w:sz w:val="24"/>
          <w:szCs w:val="24"/>
        </w:rPr>
        <w:t>Gitega</w:t>
      </w:r>
      <w:r w:rsidRPr="00463D36">
        <w:rPr>
          <w:rFonts w:eastAsia="Arial"/>
          <w:b/>
          <w:bCs w:val="0"/>
          <w:i/>
          <w:iCs/>
          <w:sz w:val="24"/>
          <w:szCs w:val="24"/>
        </w:rPr>
        <w:t xml:space="preserve"> sur la correcte utilisation, l’entretien et la manutention ordinaire des systèmes photovoltaïques installés. </w:t>
      </w:r>
    </w:p>
    <w:p w14:paraId="72A5AC15" w14:textId="77777777" w:rsidR="00F37EA9" w:rsidRPr="00463D36" w:rsidRDefault="00F37EA9" w:rsidP="00F37EA9">
      <w:pPr>
        <w:rPr>
          <w:b/>
          <w:bCs w:val="0"/>
          <w:i/>
          <w:iCs/>
          <w:color w:val="000000" w:themeColor="text1"/>
          <w:sz w:val="24"/>
          <w:szCs w:val="24"/>
        </w:rPr>
      </w:pPr>
    </w:p>
    <w:p w14:paraId="58C7880E" w14:textId="1366BA79" w:rsidR="00F37EA9" w:rsidRPr="00463D36" w:rsidRDefault="00F37EA9" w:rsidP="00F37EA9">
      <w:pPr>
        <w:numPr>
          <w:ilvl w:val="0"/>
          <w:numId w:val="5"/>
        </w:numPr>
        <w:contextualSpacing/>
        <w:rPr>
          <w:rFonts w:eastAsiaTheme="majorBidi"/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>Le Dossier d'Appel d'Offre peut être obtenu par les soumissionnaires éligibles et intéressés, à partir du</w:t>
      </w:r>
      <w:r w:rsidRPr="00463D36">
        <w:rPr>
          <w:rFonts w:eastAsia="Arial"/>
          <w:b/>
          <w:sz w:val="24"/>
          <w:szCs w:val="24"/>
        </w:rPr>
        <w:t xml:space="preserve"> </w:t>
      </w:r>
      <w:r w:rsidR="00D27288">
        <w:rPr>
          <w:rFonts w:eastAsia="Arial"/>
          <w:b/>
          <w:sz w:val="24"/>
          <w:szCs w:val="24"/>
        </w:rPr>
        <w:t>11</w:t>
      </w:r>
      <w:r w:rsidR="00813DD6">
        <w:rPr>
          <w:rFonts w:eastAsia="Arial"/>
          <w:b/>
          <w:sz w:val="24"/>
          <w:szCs w:val="24"/>
        </w:rPr>
        <w:t xml:space="preserve"> avril 2025</w:t>
      </w:r>
      <w:r w:rsidRPr="00463D36">
        <w:rPr>
          <w:rFonts w:eastAsia="Arial"/>
          <w:b/>
          <w:sz w:val="24"/>
          <w:szCs w:val="24"/>
        </w:rPr>
        <w:t>,</w:t>
      </w:r>
      <w:r w:rsidRPr="00463D36">
        <w:rPr>
          <w:rFonts w:eastAsia="Arial"/>
          <w:sz w:val="24"/>
          <w:szCs w:val="24"/>
        </w:rPr>
        <w:t xml:space="preserve"> </w:t>
      </w:r>
      <w:r w:rsidRPr="00463D36">
        <w:rPr>
          <w:rFonts w:eastAsia="Arial"/>
          <w:color w:val="auto"/>
          <w:sz w:val="24"/>
          <w:szCs w:val="24"/>
        </w:rPr>
        <w:t>en faisant la demande de retrait du dossier d’appel d’offre en français à l’adresse suivan</w:t>
      </w:r>
      <w:r w:rsidRPr="00463D36">
        <w:rPr>
          <w:rFonts w:eastAsia="Arial"/>
          <w:sz w:val="24"/>
          <w:szCs w:val="24"/>
        </w:rPr>
        <w:t xml:space="preserve">te : </w:t>
      </w:r>
      <w:hyperlink r:id="rId10">
        <w:r w:rsidRPr="00463D36">
          <w:rPr>
            <w:rFonts w:eastAsia="Arial"/>
            <w:color w:val="0000FF" w:themeColor="hyperlink"/>
            <w:sz w:val="24"/>
            <w:szCs w:val="24"/>
            <w:u w:val="single"/>
          </w:rPr>
          <w:t>educ.gl@bibliosansfrontieres.org</w:t>
        </w:r>
      </w:hyperlink>
      <w:r w:rsidRPr="00463D36">
        <w:rPr>
          <w:rFonts w:eastAsia="Arial"/>
          <w:color w:val="000000" w:themeColor="text1"/>
          <w:sz w:val="24"/>
          <w:szCs w:val="24"/>
        </w:rPr>
        <w:t xml:space="preserve"> </w:t>
      </w:r>
    </w:p>
    <w:p w14:paraId="79BB669C" w14:textId="77777777" w:rsidR="00F37EA9" w:rsidRPr="00463D36" w:rsidRDefault="00F37EA9" w:rsidP="00F37EA9">
      <w:pPr>
        <w:rPr>
          <w:color w:val="000000" w:themeColor="text1"/>
          <w:sz w:val="24"/>
          <w:szCs w:val="24"/>
          <w:highlight w:val="yellow"/>
        </w:rPr>
      </w:pPr>
    </w:p>
    <w:p w14:paraId="255C7399" w14:textId="677370CC" w:rsidR="00F37EA9" w:rsidRPr="00463D36" w:rsidRDefault="00F37EA9" w:rsidP="00F37EA9">
      <w:pPr>
        <w:numPr>
          <w:ilvl w:val="0"/>
          <w:numId w:val="5"/>
        </w:numPr>
        <w:contextualSpacing/>
        <w:rPr>
          <w:rFonts w:eastAsiaTheme="majorEastAsia"/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 xml:space="preserve">Il est possible de soumettre les éventuelles questions à BSF à l’adresse </w:t>
      </w:r>
      <w:r w:rsidR="00CC7AC2" w:rsidRPr="00463D36">
        <w:rPr>
          <w:rFonts w:eastAsia="Arial"/>
          <w:sz w:val="24"/>
          <w:szCs w:val="24"/>
        </w:rPr>
        <w:t>électronique</w:t>
      </w:r>
      <w:r w:rsidR="00115C1A">
        <w:rPr>
          <w:rFonts w:eastAsia="Arial"/>
          <w:sz w:val="24"/>
          <w:szCs w:val="24"/>
        </w:rPr>
        <w:t> </w:t>
      </w:r>
      <w:r w:rsidR="00972B45">
        <w:rPr>
          <w:rFonts w:eastAsia="Arial"/>
          <w:sz w:val="24"/>
          <w:szCs w:val="24"/>
        </w:rPr>
        <w:t>suivante :</w:t>
      </w:r>
      <w:r w:rsidRPr="00463D36">
        <w:rPr>
          <w:rFonts w:eastAsia="Arial"/>
          <w:sz w:val="24"/>
          <w:szCs w:val="24"/>
        </w:rPr>
        <w:t xml:space="preserve"> : </w:t>
      </w:r>
      <w:hyperlink r:id="rId11">
        <w:r w:rsidRPr="00463D36">
          <w:rPr>
            <w:rFonts w:eastAsia="Arial"/>
            <w:color w:val="0000FF" w:themeColor="hyperlink"/>
            <w:sz w:val="24"/>
            <w:szCs w:val="24"/>
            <w:u w:val="single"/>
          </w:rPr>
          <w:t>educ.gl@bibliosansfrontieres.org</w:t>
        </w:r>
      </w:hyperlink>
      <w:r w:rsidR="00972B45">
        <w:t xml:space="preserve">. </w:t>
      </w:r>
    </w:p>
    <w:p w14:paraId="66CB710C" w14:textId="77777777" w:rsidR="00F37EA9" w:rsidRPr="00463D36" w:rsidRDefault="00F37EA9" w:rsidP="00F37EA9">
      <w:pPr>
        <w:rPr>
          <w:color w:val="000000" w:themeColor="text1"/>
          <w:sz w:val="24"/>
          <w:szCs w:val="24"/>
        </w:rPr>
      </w:pPr>
    </w:p>
    <w:p w14:paraId="25BCC99B" w14:textId="77777777" w:rsidR="00F37EA9" w:rsidRPr="00463D36" w:rsidRDefault="00F37EA9" w:rsidP="00F37EA9">
      <w:pPr>
        <w:numPr>
          <w:ilvl w:val="0"/>
          <w:numId w:val="5"/>
        </w:numPr>
        <w:contextualSpacing/>
        <w:rPr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 xml:space="preserve">Les offres doivent être déposées physiquement et sous plis fermés contre- accusé de réception au Bureau de BSF au Burundi à l’adresse suivante : </w:t>
      </w:r>
    </w:p>
    <w:p w14:paraId="3E795AFD" w14:textId="77777777" w:rsidR="003458F5" w:rsidRPr="00463D36" w:rsidRDefault="003458F5" w:rsidP="003458F5">
      <w:pPr>
        <w:contextualSpacing/>
        <w:rPr>
          <w:color w:val="000000" w:themeColor="text1"/>
          <w:sz w:val="24"/>
          <w:szCs w:val="24"/>
        </w:rPr>
      </w:pPr>
    </w:p>
    <w:p w14:paraId="568EF688" w14:textId="77777777" w:rsidR="00F37EA9" w:rsidRPr="00463D36" w:rsidRDefault="00F37EA9" w:rsidP="00F37EA9">
      <w:pPr>
        <w:ind w:firstLine="720"/>
        <w:rPr>
          <w:b/>
          <w:sz w:val="24"/>
          <w:szCs w:val="24"/>
        </w:rPr>
      </w:pPr>
      <w:r w:rsidRPr="00463D36">
        <w:rPr>
          <w:b/>
          <w:sz w:val="24"/>
          <w:szCs w:val="24"/>
        </w:rPr>
        <w:t>Bibliothèques Sans Frontières</w:t>
      </w:r>
    </w:p>
    <w:p w14:paraId="4594943A" w14:textId="77777777" w:rsidR="00F37EA9" w:rsidRPr="00463D36" w:rsidRDefault="00F37EA9" w:rsidP="00F37EA9">
      <w:pPr>
        <w:ind w:left="709"/>
        <w:rPr>
          <w:b/>
          <w:bCs w:val="0"/>
          <w:sz w:val="24"/>
          <w:szCs w:val="24"/>
        </w:rPr>
      </w:pPr>
      <w:r w:rsidRPr="00463D36">
        <w:rPr>
          <w:b/>
          <w:bCs w:val="0"/>
          <w:sz w:val="24"/>
          <w:szCs w:val="24"/>
        </w:rPr>
        <w:t>Avenue de la mission n°16</w:t>
      </w:r>
    </w:p>
    <w:p w14:paraId="70074039" w14:textId="77777777" w:rsidR="00F37EA9" w:rsidRPr="00463D36" w:rsidRDefault="00F37EA9" w:rsidP="00F37EA9">
      <w:pPr>
        <w:ind w:left="709"/>
        <w:rPr>
          <w:b/>
          <w:sz w:val="24"/>
          <w:szCs w:val="24"/>
        </w:rPr>
      </w:pPr>
      <w:proofErr w:type="spellStart"/>
      <w:r w:rsidRPr="00463D36">
        <w:rPr>
          <w:b/>
          <w:sz w:val="24"/>
          <w:szCs w:val="24"/>
        </w:rPr>
        <w:t>Rohero</w:t>
      </w:r>
      <w:proofErr w:type="spellEnd"/>
      <w:r w:rsidRPr="00463D36">
        <w:rPr>
          <w:b/>
          <w:sz w:val="24"/>
          <w:szCs w:val="24"/>
        </w:rPr>
        <w:t>, BP 2783 Bujumbura, Burundi</w:t>
      </w:r>
    </w:p>
    <w:p w14:paraId="3A90C185" w14:textId="77777777" w:rsidR="008C782F" w:rsidRDefault="008C782F" w:rsidP="00F37EA9">
      <w:pPr>
        <w:ind w:left="720"/>
        <w:rPr>
          <w:rFonts w:eastAsia="Arial"/>
          <w:sz w:val="24"/>
          <w:szCs w:val="24"/>
        </w:rPr>
      </w:pPr>
    </w:p>
    <w:p w14:paraId="6137ABAA" w14:textId="6AD9A4B6" w:rsidR="00F37EA9" w:rsidRPr="00463D36" w:rsidRDefault="00F37EA9" w:rsidP="00F37EA9">
      <w:pPr>
        <w:ind w:left="720"/>
        <w:rPr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 xml:space="preserve">Une fiche de suivi de dépôt des candidatures sera mise en place par BSF. </w:t>
      </w:r>
    </w:p>
    <w:p w14:paraId="2FC17465" w14:textId="77777777" w:rsidR="00F37EA9" w:rsidRPr="00463D36" w:rsidRDefault="00F37EA9" w:rsidP="00F37EA9">
      <w:pPr>
        <w:ind w:left="720"/>
        <w:rPr>
          <w:rFonts w:eastAsia="Arial"/>
          <w:sz w:val="24"/>
          <w:szCs w:val="24"/>
        </w:rPr>
      </w:pPr>
    </w:p>
    <w:p w14:paraId="371AD57A" w14:textId="77777777" w:rsidR="00632A82" w:rsidRDefault="00632A82" w:rsidP="00632A82">
      <w:pPr>
        <w:ind w:left="720"/>
        <w:contextualSpacing/>
        <w:rPr>
          <w:rFonts w:eastAsiaTheme="majorEastAsia"/>
          <w:color w:val="000000" w:themeColor="text1"/>
          <w:sz w:val="24"/>
          <w:szCs w:val="24"/>
        </w:rPr>
      </w:pPr>
    </w:p>
    <w:p w14:paraId="11B81978" w14:textId="77777777" w:rsidR="00632A82" w:rsidRPr="00632A82" w:rsidRDefault="00632A82" w:rsidP="00632A82">
      <w:pPr>
        <w:ind w:left="720"/>
        <w:contextualSpacing/>
        <w:rPr>
          <w:rFonts w:eastAsiaTheme="majorEastAsia"/>
          <w:color w:val="000000" w:themeColor="text1"/>
          <w:sz w:val="24"/>
          <w:szCs w:val="24"/>
        </w:rPr>
      </w:pPr>
    </w:p>
    <w:p w14:paraId="1F6B7F11" w14:textId="7E55A7FF" w:rsidR="00BB3132" w:rsidRPr="00463D36" w:rsidRDefault="00F37EA9" w:rsidP="00BB3132">
      <w:pPr>
        <w:numPr>
          <w:ilvl w:val="0"/>
          <w:numId w:val="5"/>
        </w:numPr>
        <w:contextualSpacing/>
        <w:rPr>
          <w:rFonts w:eastAsiaTheme="majorEastAsia"/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 xml:space="preserve">Les offres doivent être déposées selon les modalités indiquées au point 5, au plus tard le </w:t>
      </w:r>
      <w:r w:rsidR="00575FBD">
        <w:rPr>
          <w:rFonts w:eastAsia="Arial"/>
          <w:sz w:val="24"/>
          <w:szCs w:val="24"/>
        </w:rPr>
        <w:t>22 avril 20</w:t>
      </w:r>
      <w:r w:rsidR="00AF074A">
        <w:rPr>
          <w:rFonts w:eastAsia="Arial"/>
          <w:sz w:val="24"/>
          <w:szCs w:val="24"/>
        </w:rPr>
        <w:t>25</w:t>
      </w:r>
      <w:r w:rsidRPr="00463D36">
        <w:rPr>
          <w:rFonts w:eastAsia="Arial"/>
          <w:sz w:val="24"/>
          <w:szCs w:val="24"/>
        </w:rPr>
        <w:t xml:space="preserve"> à </w:t>
      </w:r>
      <w:r w:rsidR="00AF074A" w:rsidRPr="00463D36">
        <w:rPr>
          <w:rFonts w:eastAsia="Arial"/>
          <w:sz w:val="24"/>
          <w:szCs w:val="24"/>
        </w:rPr>
        <w:t>1</w:t>
      </w:r>
      <w:r w:rsidR="00AF074A">
        <w:rPr>
          <w:rFonts w:eastAsia="Arial"/>
          <w:sz w:val="24"/>
          <w:szCs w:val="24"/>
        </w:rPr>
        <w:t>6</w:t>
      </w:r>
      <w:r w:rsidR="00AF074A" w:rsidRPr="00463D36">
        <w:rPr>
          <w:rFonts w:eastAsia="Arial"/>
          <w:sz w:val="24"/>
          <w:szCs w:val="24"/>
        </w:rPr>
        <w:t xml:space="preserve">h00 </w:t>
      </w:r>
      <w:r w:rsidRPr="00463D36">
        <w:rPr>
          <w:rFonts w:eastAsia="Arial"/>
          <w:sz w:val="24"/>
          <w:szCs w:val="24"/>
        </w:rPr>
        <w:t xml:space="preserve">(douze heures) de Bujumbura </w:t>
      </w:r>
    </w:p>
    <w:p w14:paraId="7A136960" w14:textId="77777777" w:rsidR="00F37EA9" w:rsidRPr="00463D36" w:rsidRDefault="00F37EA9" w:rsidP="00F37EA9">
      <w:pPr>
        <w:rPr>
          <w:color w:val="000000" w:themeColor="text1"/>
          <w:sz w:val="24"/>
          <w:szCs w:val="24"/>
          <w:highlight w:val="yellow"/>
        </w:rPr>
      </w:pPr>
    </w:p>
    <w:p w14:paraId="55BE8574" w14:textId="5C508068" w:rsidR="00F37EA9" w:rsidRPr="00463D36" w:rsidRDefault="00F37EA9" w:rsidP="00F37EA9">
      <w:pPr>
        <w:numPr>
          <w:ilvl w:val="0"/>
          <w:numId w:val="5"/>
        </w:numPr>
        <w:contextualSpacing/>
        <w:rPr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 xml:space="preserve">Les offres reçues seront officiellement ouvertes en présence des représentants des Soumissionnaires qui le souhaitent le </w:t>
      </w:r>
      <w:r w:rsidR="00622D6F">
        <w:rPr>
          <w:rFonts w:eastAsia="Arial"/>
          <w:sz w:val="24"/>
          <w:szCs w:val="24"/>
        </w:rPr>
        <w:t>23 avril 2025</w:t>
      </w:r>
      <w:r w:rsidRPr="00463D36">
        <w:rPr>
          <w:rFonts w:eastAsia="Arial"/>
          <w:sz w:val="24"/>
          <w:szCs w:val="24"/>
        </w:rPr>
        <w:t xml:space="preserve"> à</w:t>
      </w:r>
      <w:r w:rsidR="00CC7AC2" w:rsidRPr="00463D36">
        <w:rPr>
          <w:rFonts w:eastAsia="Arial"/>
          <w:sz w:val="24"/>
          <w:szCs w:val="24"/>
        </w:rPr>
        <w:t xml:space="preserve"> </w:t>
      </w:r>
      <w:r w:rsidR="00876BAA">
        <w:rPr>
          <w:rFonts w:eastAsia="Arial"/>
          <w:sz w:val="24"/>
          <w:szCs w:val="24"/>
        </w:rPr>
        <w:t>15h00</w:t>
      </w:r>
      <w:r w:rsidR="00876BAA" w:rsidRPr="00463D36">
        <w:rPr>
          <w:rFonts w:eastAsia="Arial"/>
          <w:sz w:val="24"/>
          <w:szCs w:val="24"/>
        </w:rPr>
        <w:t xml:space="preserve"> </w:t>
      </w:r>
      <w:r w:rsidR="003458F5" w:rsidRPr="00463D36">
        <w:rPr>
          <w:rFonts w:eastAsia="Arial"/>
          <w:sz w:val="24"/>
          <w:szCs w:val="24"/>
        </w:rPr>
        <w:t>(</w:t>
      </w:r>
      <w:r w:rsidR="0032181E">
        <w:rPr>
          <w:rFonts w:eastAsia="Arial"/>
          <w:sz w:val="24"/>
          <w:szCs w:val="24"/>
        </w:rPr>
        <w:t>heure du Burundi</w:t>
      </w:r>
      <w:r w:rsidR="003458F5" w:rsidRPr="00463D36">
        <w:rPr>
          <w:rFonts w:eastAsia="Arial"/>
          <w:sz w:val="24"/>
          <w:szCs w:val="24"/>
        </w:rPr>
        <w:t>)</w:t>
      </w:r>
      <w:r w:rsidRPr="00463D36">
        <w:rPr>
          <w:rFonts w:eastAsia="Arial"/>
          <w:sz w:val="24"/>
          <w:szCs w:val="24"/>
        </w:rPr>
        <w:t xml:space="preserve"> à Bujumbura </w:t>
      </w:r>
      <w:r w:rsidRPr="00463D36">
        <w:rPr>
          <w:rFonts w:eastAsia="Arial"/>
          <w:color w:val="auto"/>
          <w:sz w:val="24"/>
          <w:szCs w:val="24"/>
        </w:rPr>
        <w:t>à l’adresse mentionnée au point 5.</w:t>
      </w:r>
    </w:p>
    <w:p w14:paraId="09129D78" w14:textId="77777777" w:rsidR="00F37EA9" w:rsidRPr="00463D36" w:rsidRDefault="00F37EA9" w:rsidP="00F37EA9">
      <w:pPr>
        <w:rPr>
          <w:rFonts w:eastAsia="Arial"/>
          <w:sz w:val="24"/>
          <w:szCs w:val="24"/>
        </w:rPr>
      </w:pPr>
    </w:p>
    <w:p w14:paraId="57099A19" w14:textId="13D94EF3" w:rsidR="00F37EA9" w:rsidRPr="00463D36" w:rsidRDefault="00F37EA9" w:rsidP="00F37EA9">
      <w:pPr>
        <w:numPr>
          <w:ilvl w:val="0"/>
          <w:numId w:val="5"/>
        </w:numPr>
        <w:contextualSpacing/>
        <w:rPr>
          <w:rFonts w:eastAsiaTheme="majorEastAsia"/>
          <w:color w:val="000000" w:themeColor="text1"/>
          <w:sz w:val="24"/>
          <w:szCs w:val="24"/>
        </w:rPr>
      </w:pPr>
      <w:r w:rsidRPr="00463D36">
        <w:rPr>
          <w:rFonts w:eastAsia="Arial"/>
          <w:sz w:val="24"/>
          <w:szCs w:val="24"/>
        </w:rPr>
        <w:t>Calendrier estimatif de l’appel d’offre</w:t>
      </w:r>
      <w:r w:rsidR="00463D36">
        <w:rPr>
          <w:rFonts w:eastAsia="Arial"/>
          <w:sz w:val="24"/>
          <w:szCs w:val="24"/>
        </w:rPr>
        <w:t> </w:t>
      </w:r>
      <w:r w:rsidR="00463D36">
        <w:rPr>
          <w:rFonts w:eastAsiaTheme="majorEastAsia"/>
          <w:color w:val="000000" w:themeColor="text1"/>
          <w:sz w:val="24"/>
          <w:szCs w:val="24"/>
        </w:rPr>
        <w:t>:</w:t>
      </w:r>
    </w:p>
    <w:p w14:paraId="02428CE6" w14:textId="77777777" w:rsidR="00F37EA9" w:rsidRDefault="00F37EA9" w:rsidP="00F37EA9">
      <w:pPr>
        <w:ind w:left="720"/>
        <w:contextualSpacing/>
        <w:rPr>
          <w:rFonts w:eastAsia="Arial"/>
          <w:color w:val="auto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2693"/>
        <w:gridCol w:w="1276"/>
      </w:tblGrid>
      <w:tr w:rsidR="008C782F" w:rsidRPr="00DB5BE4" w14:paraId="363E9C3C" w14:textId="77777777" w:rsidTr="00E36FB6">
        <w:trPr>
          <w:trHeight w:val="101"/>
        </w:trPr>
        <w:tc>
          <w:tcPr>
            <w:tcW w:w="4923" w:type="dxa"/>
          </w:tcPr>
          <w:p w14:paraId="127CDB53" w14:textId="77777777" w:rsidR="008C782F" w:rsidRPr="00DB5BE4" w:rsidRDefault="008C782F" w:rsidP="00E36FB6">
            <w:pPr>
              <w:spacing w:before="120" w:after="120"/>
              <w:rPr>
                <w:rFonts w:ascii="Calibri" w:eastAsia="Arial" w:hAnsi="Calibri" w:cs="Calibri"/>
                <w:sz w:val="22"/>
                <w:szCs w:val="22"/>
                <w:highlight w:val="yellow"/>
              </w:rPr>
            </w:pPr>
            <w:r w:rsidRPr="00DB5BE4">
              <w:rPr>
                <w:rFonts w:ascii="Calibri" w:eastAsia="Arial" w:hAnsi="Calibri" w:cs="Calibri"/>
                <w:b/>
                <w:sz w:val="22"/>
                <w:szCs w:val="22"/>
              </w:rPr>
              <w:t>Calendrier estimatif de l’appel d’offre</w:t>
            </w:r>
          </w:p>
        </w:tc>
        <w:tc>
          <w:tcPr>
            <w:tcW w:w="2693" w:type="dxa"/>
          </w:tcPr>
          <w:p w14:paraId="5AF6CCB4" w14:textId="77777777" w:rsidR="008C782F" w:rsidRPr="00FA58B1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FA58B1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276" w:type="dxa"/>
          </w:tcPr>
          <w:p w14:paraId="4917EF28" w14:textId="4DF11353" w:rsidR="008C782F" w:rsidRPr="00DB5BE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HEURE </w:t>
            </w:r>
          </w:p>
        </w:tc>
      </w:tr>
      <w:tr w:rsidR="008C782F" w:rsidRPr="00DB5BE4" w14:paraId="745E837E" w14:textId="77777777" w:rsidTr="00E36FB6">
        <w:trPr>
          <w:trHeight w:val="585"/>
        </w:trPr>
        <w:tc>
          <w:tcPr>
            <w:tcW w:w="4923" w:type="dxa"/>
          </w:tcPr>
          <w:p w14:paraId="1AFC874F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 xml:space="preserve">Avis de l'appel d'offre </w:t>
            </w:r>
          </w:p>
        </w:tc>
        <w:tc>
          <w:tcPr>
            <w:tcW w:w="3969" w:type="dxa"/>
            <w:gridSpan w:val="2"/>
          </w:tcPr>
          <w:p w14:paraId="64DFAF8C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9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 avril 2025</w:t>
            </w:r>
          </w:p>
        </w:tc>
      </w:tr>
      <w:tr w:rsidR="008C782F" w:rsidRPr="00DB5BE4" w14:paraId="012D3533" w14:textId="77777777" w:rsidTr="00E36FB6">
        <w:trPr>
          <w:trHeight w:val="124"/>
        </w:trPr>
        <w:tc>
          <w:tcPr>
            <w:tcW w:w="4923" w:type="dxa"/>
          </w:tcPr>
          <w:p w14:paraId="68E77FB8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 xml:space="preserve">Publication du dossier de l'appel d'offre </w:t>
            </w:r>
          </w:p>
        </w:tc>
        <w:tc>
          <w:tcPr>
            <w:tcW w:w="3969" w:type="dxa"/>
            <w:gridSpan w:val="2"/>
          </w:tcPr>
          <w:p w14:paraId="141B94EE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9 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au 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22 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>avril 2025</w:t>
            </w:r>
          </w:p>
        </w:tc>
      </w:tr>
      <w:tr w:rsidR="008C782F" w:rsidRPr="00DB5BE4" w14:paraId="1E0495AF" w14:textId="77777777" w:rsidTr="00E36FB6">
        <w:trPr>
          <w:trHeight w:val="380"/>
        </w:trPr>
        <w:tc>
          <w:tcPr>
            <w:tcW w:w="4923" w:type="dxa"/>
          </w:tcPr>
          <w:p w14:paraId="3E5E849F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 xml:space="preserve">Délai limite pour adresser une demande d'informations complémentaires au pouvoir adjudicateur </w:t>
            </w:r>
          </w:p>
        </w:tc>
        <w:tc>
          <w:tcPr>
            <w:tcW w:w="2693" w:type="dxa"/>
          </w:tcPr>
          <w:p w14:paraId="4B12B036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21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 avril 2025</w:t>
            </w:r>
          </w:p>
        </w:tc>
        <w:tc>
          <w:tcPr>
            <w:tcW w:w="1276" w:type="dxa"/>
          </w:tcPr>
          <w:p w14:paraId="26FEF4DD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DC55C4">
              <w:rPr>
                <w:rFonts w:ascii="Calibri" w:eastAsia="Arial" w:hAnsi="Calibri" w:cs="Calibri"/>
                <w:sz w:val="22"/>
                <w:szCs w:val="22"/>
              </w:rPr>
              <w:t>16h30</w:t>
            </w:r>
          </w:p>
        </w:tc>
      </w:tr>
      <w:tr w:rsidR="008C782F" w:rsidRPr="00DB5BE4" w14:paraId="56E04B17" w14:textId="77777777" w:rsidTr="00E36FB6">
        <w:trPr>
          <w:trHeight w:val="245"/>
        </w:trPr>
        <w:tc>
          <w:tcPr>
            <w:tcW w:w="4923" w:type="dxa"/>
          </w:tcPr>
          <w:p w14:paraId="30EF146C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 xml:space="preserve">Date limite pour la fourniture d'informations complémentaires par le pouvoir adjudicateur </w:t>
            </w:r>
          </w:p>
        </w:tc>
        <w:tc>
          <w:tcPr>
            <w:tcW w:w="2693" w:type="dxa"/>
          </w:tcPr>
          <w:p w14:paraId="5EEF2F66" w14:textId="77777777" w:rsidR="008C782F" w:rsidRPr="00DC55C4" w:rsidRDefault="008C782F" w:rsidP="00E36FB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t>22</w:t>
            </w:r>
            <w:r w:rsidRPr="00FA58B1">
              <w:t xml:space="preserve"> avril 2025</w:t>
            </w:r>
          </w:p>
        </w:tc>
        <w:tc>
          <w:tcPr>
            <w:tcW w:w="1276" w:type="dxa"/>
          </w:tcPr>
          <w:p w14:paraId="18FA56CA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FA58B1">
              <w:t>16h30</w:t>
            </w:r>
          </w:p>
        </w:tc>
      </w:tr>
      <w:tr w:rsidR="008C782F" w:rsidRPr="00DB5BE4" w14:paraId="62E1494E" w14:textId="77777777" w:rsidTr="00E36FB6">
        <w:trPr>
          <w:trHeight w:val="514"/>
        </w:trPr>
        <w:tc>
          <w:tcPr>
            <w:tcW w:w="4923" w:type="dxa"/>
          </w:tcPr>
          <w:p w14:paraId="75AD84AC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color w:val="FF0000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>Délai ultime pour la remise des offres par dépôt physique contre accusé de réception</w:t>
            </w:r>
          </w:p>
        </w:tc>
        <w:tc>
          <w:tcPr>
            <w:tcW w:w="2693" w:type="dxa"/>
          </w:tcPr>
          <w:p w14:paraId="1CC7BA17" w14:textId="77777777" w:rsidR="008C782F" w:rsidRPr="00DC55C4" w:rsidRDefault="008C782F" w:rsidP="00E36FB6">
            <w:pPr>
              <w:rPr>
                <w:rFonts w:ascii="Calibri" w:eastAsia="Calibri" w:hAnsi="Calibri" w:cs="Calibri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22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 avril 2025</w:t>
            </w:r>
          </w:p>
          <w:p w14:paraId="353AC4B8" w14:textId="77777777" w:rsidR="008C782F" w:rsidRPr="00DC55C4" w:rsidRDefault="008C782F" w:rsidP="00E36FB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99A1CF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DC55C4">
              <w:rPr>
                <w:rFonts w:ascii="Calibri" w:eastAsia="Arial" w:hAnsi="Calibri" w:cs="Calibri"/>
                <w:sz w:val="22"/>
                <w:szCs w:val="22"/>
              </w:rPr>
              <w:t>16h 30</w:t>
            </w:r>
          </w:p>
        </w:tc>
      </w:tr>
      <w:tr w:rsidR="008C782F" w:rsidRPr="00DB5BE4" w14:paraId="3ACA95B2" w14:textId="77777777" w:rsidTr="00E36FB6">
        <w:trPr>
          <w:trHeight w:val="110"/>
        </w:trPr>
        <w:tc>
          <w:tcPr>
            <w:tcW w:w="4923" w:type="dxa"/>
          </w:tcPr>
          <w:p w14:paraId="77C61DA2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 xml:space="preserve">Séance d'ouverture des offres </w:t>
            </w:r>
          </w:p>
        </w:tc>
        <w:tc>
          <w:tcPr>
            <w:tcW w:w="2693" w:type="dxa"/>
          </w:tcPr>
          <w:p w14:paraId="066BCA10" w14:textId="77777777" w:rsidR="008C782F" w:rsidRPr="00DC55C4" w:rsidRDefault="008C782F" w:rsidP="00E36FB6">
            <w:pPr>
              <w:rPr>
                <w:rFonts w:ascii="Calibri" w:eastAsia="Calibri" w:hAnsi="Calibri" w:cs="Calibri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23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 avril 2025</w:t>
            </w:r>
          </w:p>
          <w:p w14:paraId="7033852D" w14:textId="77777777" w:rsidR="008C782F" w:rsidRPr="00DC55C4" w:rsidRDefault="008C782F" w:rsidP="00E36FB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9067D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DC55C4">
              <w:rPr>
                <w:rFonts w:ascii="Calibri" w:eastAsia="Arial" w:hAnsi="Calibri" w:cs="Calibri"/>
                <w:sz w:val="22"/>
                <w:szCs w:val="22"/>
              </w:rPr>
              <w:t>15h00</w:t>
            </w:r>
          </w:p>
        </w:tc>
      </w:tr>
      <w:tr w:rsidR="008C782F" w:rsidRPr="00DB5BE4" w14:paraId="7D2E9091" w14:textId="77777777" w:rsidTr="00E36FB6">
        <w:trPr>
          <w:trHeight w:val="245"/>
        </w:trPr>
        <w:tc>
          <w:tcPr>
            <w:tcW w:w="4923" w:type="dxa"/>
          </w:tcPr>
          <w:p w14:paraId="08DD8E8E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 xml:space="preserve">Notification de l'attribution provisoire du marché à l'attributaire gagnant </w:t>
            </w:r>
          </w:p>
        </w:tc>
        <w:tc>
          <w:tcPr>
            <w:tcW w:w="3969" w:type="dxa"/>
            <w:gridSpan w:val="2"/>
          </w:tcPr>
          <w:p w14:paraId="36B29C9A" w14:textId="77777777" w:rsidR="008C782F" w:rsidRPr="00DC55C4" w:rsidRDefault="008C782F" w:rsidP="00E36FB6">
            <w:pPr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2</w:t>
            </w:r>
            <w:r w:rsidRPr="00DC55C4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8 avril 2025</w:t>
            </w:r>
          </w:p>
        </w:tc>
      </w:tr>
      <w:tr w:rsidR="008C782F" w:rsidRPr="00DB5BE4" w14:paraId="473E9B88" w14:textId="77777777" w:rsidTr="00E36FB6">
        <w:trPr>
          <w:trHeight w:val="380"/>
        </w:trPr>
        <w:tc>
          <w:tcPr>
            <w:tcW w:w="4923" w:type="dxa"/>
          </w:tcPr>
          <w:p w14:paraId="7E6CF598" w14:textId="77777777" w:rsidR="008C782F" w:rsidRPr="00DB5BE4" w:rsidRDefault="008C782F" w:rsidP="00E36FB6">
            <w:pPr>
              <w:spacing w:after="240"/>
              <w:rPr>
                <w:rFonts w:ascii="Calibri" w:eastAsia="Arial" w:hAnsi="Calibri" w:cs="Calibri"/>
                <w:sz w:val="22"/>
                <w:szCs w:val="22"/>
              </w:rPr>
            </w:pPr>
            <w:r w:rsidRPr="00DB5BE4">
              <w:rPr>
                <w:rFonts w:ascii="Calibri" w:eastAsia="Arial" w:hAnsi="Calibri" w:cs="Calibri"/>
                <w:sz w:val="22"/>
                <w:szCs w:val="22"/>
              </w:rPr>
              <w:t>Signature du contrat (Il s’agit ici d’une estimation dépendante de l’état d’avancement de négociation avec l’attributaire gagnant).</w:t>
            </w:r>
          </w:p>
        </w:tc>
        <w:tc>
          <w:tcPr>
            <w:tcW w:w="3969" w:type="dxa"/>
            <w:gridSpan w:val="2"/>
          </w:tcPr>
          <w:p w14:paraId="3516D037" w14:textId="77777777" w:rsidR="008C782F" w:rsidRPr="00DC55C4" w:rsidRDefault="008C782F" w:rsidP="00E36FB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30</w:t>
            </w:r>
            <w:r w:rsidRPr="00DC55C4">
              <w:rPr>
                <w:rFonts w:ascii="Calibri" w:eastAsia="Arial" w:hAnsi="Calibri" w:cs="Calibri"/>
                <w:sz w:val="22"/>
                <w:szCs w:val="22"/>
              </w:rPr>
              <w:t xml:space="preserve"> avril 2025</w:t>
            </w:r>
          </w:p>
        </w:tc>
      </w:tr>
    </w:tbl>
    <w:p w14:paraId="700AC4AF" w14:textId="77777777" w:rsidR="00F37EA9" w:rsidRPr="00463D36" w:rsidRDefault="00F37EA9" w:rsidP="00F37EA9">
      <w:pPr>
        <w:rPr>
          <w:sz w:val="24"/>
          <w:szCs w:val="24"/>
        </w:rPr>
      </w:pPr>
    </w:p>
    <w:p w14:paraId="71E5BE97" w14:textId="77777777" w:rsidR="00F37EA9" w:rsidRPr="00463D36" w:rsidRDefault="00F37EA9" w:rsidP="00F37EA9">
      <w:pPr>
        <w:rPr>
          <w:sz w:val="24"/>
          <w:szCs w:val="24"/>
        </w:rPr>
      </w:pPr>
    </w:p>
    <w:p w14:paraId="15CD924E" w14:textId="6C34457B" w:rsidR="00F37EA9" w:rsidRPr="00463D36" w:rsidRDefault="00F37EA9" w:rsidP="00F37EA9">
      <w:pPr>
        <w:rPr>
          <w:sz w:val="24"/>
          <w:szCs w:val="24"/>
        </w:rPr>
      </w:pPr>
    </w:p>
    <w:p w14:paraId="3B90731F" w14:textId="77777777" w:rsidR="00543893" w:rsidRPr="00463D36" w:rsidRDefault="00543893">
      <w:pPr>
        <w:rPr>
          <w:sz w:val="24"/>
          <w:szCs w:val="24"/>
        </w:rPr>
      </w:pPr>
    </w:p>
    <w:sectPr w:rsidR="00543893" w:rsidRPr="00463D3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D250" w14:textId="77777777" w:rsidR="00692FB5" w:rsidRDefault="00692FB5" w:rsidP="00F37EA9">
      <w:pPr>
        <w:spacing w:after="0"/>
      </w:pPr>
      <w:r>
        <w:separator/>
      </w:r>
    </w:p>
  </w:endnote>
  <w:endnote w:type="continuationSeparator" w:id="0">
    <w:p w14:paraId="5523EC6A" w14:textId="77777777" w:rsidR="00692FB5" w:rsidRDefault="00692FB5" w:rsidP="00F37EA9">
      <w:pPr>
        <w:spacing w:after="0"/>
      </w:pPr>
      <w:r>
        <w:continuationSeparator/>
      </w:r>
    </w:p>
  </w:endnote>
  <w:endnote w:type="continuationNotice" w:id="1">
    <w:p w14:paraId="298F8F44" w14:textId="77777777" w:rsidR="00692FB5" w:rsidRDefault="00692F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D258" w14:textId="77777777" w:rsidR="00692FB5" w:rsidRDefault="00692FB5" w:rsidP="00F37EA9">
      <w:pPr>
        <w:spacing w:after="0"/>
      </w:pPr>
      <w:r>
        <w:separator/>
      </w:r>
    </w:p>
  </w:footnote>
  <w:footnote w:type="continuationSeparator" w:id="0">
    <w:p w14:paraId="3905D25D" w14:textId="77777777" w:rsidR="00692FB5" w:rsidRDefault="00692FB5" w:rsidP="00F37EA9">
      <w:pPr>
        <w:spacing w:after="0"/>
      </w:pPr>
      <w:r>
        <w:continuationSeparator/>
      </w:r>
    </w:p>
  </w:footnote>
  <w:footnote w:type="continuationNotice" w:id="1">
    <w:p w14:paraId="2A0778B1" w14:textId="77777777" w:rsidR="00692FB5" w:rsidRDefault="00692F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DC7E" w14:textId="4686A1E1" w:rsidR="00F37EA9" w:rsidRDefault="00F37EA9">
    <w:pPr>
      <w:pStyle w:val="En-tte"/>
    </w:pPr>
    <w:r>
      <w:rPr>
        <w:noProof/>
      </w:rPr>
      <w:drawing>
        <wp:inline distT="0" distB="0" distL="0" distR="0" wp14:anchorId="35FCFF38" wp14:editId="5CA06889">
          <wp:extent cx="2118250" cy="5842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912" cy="58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A02AA"/>
    <w:multiLevelType w:val="hybridMultilevel"/>
    <w:tmpl w:val="E0D602EE"/>
    <w:lvl w:ilvl="0" w:tplc="D230F098">
      <w:start w:val="1"/>
      <w:numFmt w:val="decimal"/>
      <w:lvlText w:val="%1."/>
      <w:lvlJc w:val="left"/>
      <w:pPr>
        <w:ind w:left="720" w:hanging="360"/>
      </w:pPr>
    </w:lvl>
    <w:lvl w:ilvl="1" w:tplc="824C15E8">
      <w:start w:val="1"/>
      <w:numFmt w:val="lowerLetter"/>
      <w:lvlText w:val="%2."/>
      <w:lvlJc w:val="left"/>
      <w:pPr>
        <w:ind w:left="1440" w:hanging="360"/>
      </w:pPr>
    </w:lvl>
    <w:lvl w:ilvl="2" w:tplc="A2EA9AB4">
      <w:start w:val="1"/>
      <w:numFmt w:val="lowerRoman"/>
      <w:lvlText w:val="%3."/>
      <w:lvlJc w:val="right"/>
      <w:pPr>
        <w:ind w:left="2160" w:hanging="180"/>
      </w:pPr>
    </w:lvl>
    <w:lvl w:ilvl="3" w:tplc="792E361A">
      <w:start w:val="1"/>
      <w:numFmt w:val="decimal"/>
      <w:lvlText w:val="%4."/>
      <w:lvlJc w:val="left"/>
      <w:pPr>
        <w:ind w:left="2880" w:hanging="360"/>
      </w:pPr>
    </w:lvl>
    <w:lvl w:ilvl="4" w:tplc="0A7CA202">
      <w:start w:val="1"/>
      <w:numFmt w:val="lowerLetter"/>
      <w:lvlText w:val="%5."/>
      <w:lvlJc w:val="left"/>
      <w:pPr>
        <w:ind w:left="3600" w:hanging="360"/>
      </w:pPr>
    </w:lvl>
    <w:lvl w:ilvl="5" w:tplc="956253E6">
      <w:start w:val="1"/>
      <w:numFmt w:val="lowerRoman"/>
      <w:lvlText w:val="%6."/>
      <w:lvlJc w:val="right"/>
      <w:pPr>
        <w:ind w:left="4320" w:hanging="180"/>
      </w:pPr>
    </w:lvl>
    <w:lvl w:ilvl="6" w:tplc="0FD23270">
      <w:start w:val="1"/>
      <w:numFmt w:val="decimal"/>
      <w:lvlText w:val="%7."/>
      <w:lvlJc w:val="left"/>
      <w:pPr>
        <w:ind w:left="5040" w:hanging="360"/>
      </w:pPr>
    </w:lvl>
    <w:lvl w:ilvl="7" w:tplc="46D85444">
      <w:start w:val="1"/>
      <w:numFmt w:val="lowerLetter"/>
      <w:lvlText w:val="%8."/>
      <w:lvlJc w:val="left"/>
      <w:pPr>
        <w:ind w:left="5760" w:hanging="360"/>
      </w:pPr>
    </w:lvl>
    <w:lvl w:ilvl="8" w:tplc="240AF7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FBC"/>
    <w:multiLevelType w:val="hybridMultilevel"/>
    <w:tmpl w:val="3A74D4D0"/>
    <w:lvl w:ilvl="0" w:tplc="D8327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6A3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0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C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C7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09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81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AE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5040"/>
    <w:multiLevelType w:val="multilevel"/>
    <w:tmpl w:val="30A813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12746546">
    <w:abstractNumId w:val="2"/>
  </w:num>
  <w:num w:numId="2" w16cid:durableId="943154661">
    <w:abstractNumId w:val="2"/>
  </w:num>
  <w:num w:numId="3" w16cid:durableId="1644849088">
    <w:abstractNumId w:val="2"/>
  </w:num>
  <w:num w:numId="4" w16cid:durableId="1802377881">
    <w:abstractNumId w:val="1"/>
  </w:num>
  <w:num w:numId="5" w16cid:durableId="147606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A9"/>
    <w:rsid w:val="00077C31"/>
    <w:rsid w:val="000A12E0"/>
    <w:rsid w:val="001151BD"/>
    <w:rsid w:val="00115C1A"/>
    <w:rsid w:val="001312D5"/>
    <w:rsid w:val="00140819"/>
    <w:rsid w:val="001840C6"/>
    <w:rsid w:val="00194F73"/>
    <w:rsid w:val="0029060B"/>
    <w:rsid w:val="002B7EC0"/>
    <w:rsid w:val="002C61EF"/>
    <w:rsid w:val="0032181E"/>
    <w:rsid w:val="0033119D"/>
    <w:rsid w:val="003458F5"/>
    <w:rsid w:val="00406B3B"/>
    <w:rsid w:val="00463D36"/>
    <w:rsid w:val="004A62A9"/>
    <w:rsid w:val="004E62ED"/>
    <w:rsid w:val="00543893"/>
    <w:rsid w:val="00575FBD"/>
    <w:rsid w:val="00585C2E"/>
    <w:rsid w:val="00590012"/>
    <w:rsid w:val="005A419D"/>
    <w:rsid w:val="00604089"/>
    <w:rsid w:val="00622D6F"/>
    <w:rsid w:val="00632A82"/>
    <w:rsid w:val="006721C4"/>
    <w:rsid w:val="00675723"/>
    <w:rsid w:val="00692FB5"/>
    <w:rsid w:val="0069443B"/>
    <w:rsid w:val="00701BA2"/>
    <w:rsid w:val="00786353"/>
    <w:rsid w:val="0079268D"/>
    <w:rsid w:val="007D7792"/>
    <w:rsid w:val="00813DD6"/>
    <w:rsid w:val="00853991"/>
    <w:rsid w:val="00876BAA"/>
    <w:rsid w:val="008C3435"/>
    <w:rsid w:val="008C782F"/>
    <w:rsid w:val="00972B45"/>
    <w:rsid w:val="00A5093C"/>
    <w:rsid w:val="00AD2756"/>
    <w:rsid w:val="00AE3BD2"/>
    <w:rsid w:val="00AE6B61"/>
    <w:rsid w:val="00AF074A"/>
    <w:rsid w:val="00B30DDC"/>
    <w:rsid w:val="00B31D69"/>
    <w:rsid w:val="00B632AA"/>
    <w:rsid w:val="00BA7161"/>
    <w:rsid w:val="00BA74ED"/>
    <w:rsid w:val="00BB3132"/>
    <w:rsid w:val="00C01F0C"/>
    <w:rsid w:val="00C1574B"/>
    <w:rsid w:val="00C17205"/>
    <w:rsid w:val="00C20435"/>
    <w:rsid w:val="00C3275D"/>
    <w:rsid w:val="00C42138"/>
    <w:rsid w:val="00CA038E"/>
    <w:rsid w:val="00CB62DC"/>
    <w:rsid w:val="00CB69BB"/>
    <w:rsid w:val="00CC3B3D"/>
    <w:rsid w:val="00CC7AC2"/>
    <w:rsid w:val="00D27288"/>
    <w:rsid w:val="00F37EA9"/>
    <w:rsid w:val="00FD152A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217AB"/>
  <w15:chartTrackingRefBased/>
  <w15:docId w15:val="{BF58AEE3-9F58-44CE-8A84-D3DA39F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Nunito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56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360"/>
      </w:tabs>
      <w:autoSpaceDE w:val="0"/>
      <w:autoSpaceDN w:val="0"/>
      <w:adjustRightInd w:val="0"/>
      <w:spacing w:after="60" w:line="240" w:lineRule="auto"/>
      <w:jc w:val="both"/>
    </w:pPr>
    <w:rPr>
      <w:rFonts w:asciiTheme="majorHAnsi" w:hAnsiTheme="majorHAnsi" w:cstheme="majorHAnsi"/>
      <w:bCs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AD2756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27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27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27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2756"/>
    <w:pPr>
      <w:spacing w:before="85"/>
      <w:ind w:left="193"/>
    </w:pPr>
  </w:style>
  <w:style w:type="paragraph" w:customStyle="1" w:styleId="Style3">
    <w:name w:val="Style3"/>
    <w:basedOn w:val="Normal"/>
    <w:link w:val="Style3Car"/>
    <w:qFormat/>
    <w:rsid w:val="00AD27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284"/>
        <w:tab w:val="num" w:pos="360"/>
      </w:tabs>
      <w:autoSpaceDE/>
      <w:autoSpaceDN/>
      <w:adjustRightInd/>
      <w:spacing w:after="200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 w:val="0"/>
      <w:color w:val="auto"/>
      <w:kern w:val="28"/>
      <w:sz w:val="32"/>
    </w:rPr>
  </w:style>
  <w:style w:type="character" w:customStyle="1" w:styleId="Style3Car">
    <w:name w:val="Style3 Car"/>
    <w:basedOn w:val="Policepardfaut"/>
    <w:link w:val="Style3"/>
    <w:rsid w:val="00AD2756"/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AD2756"/>
    <w:rPr>
      <w:rFonts w:asciiTheme="majorHAnsi" w:eastAsiaTheme="majorEastAsia" w:hAnsiTheme="majorHAnsi" w:cstheme="majorBidi"/>
      <w:bCs/>
      <w:i/>
      <w:iCs/>
      <w:color w:val="243F60" w:themeColor="accent1" w:themeShade="7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D2756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D2756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Titre">
    <w:name w:val="Title"/>
    <w:basedOn w:val="Titre1"/>
    <w:next w:val="Normal"/>
    <w:link w:val="TitreCar"/>
    <w:qFormat/>
    <w:rsid w:val="00AD27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284"/>
        <w:tab w:val="clear" w:pos="360"/>
      </w:tabs>
      <w:autoSpaceDE/>
      <w:autoSpaceDN/>
      <w:adjustRightInd/>
      <w:spacing w:before="0"/>
      <w:ind w:left="432"/>
      <w:jc w:val="center"/>
    </w:pPr>
    <w:rPr>
      <w:rFonts w:eastAsia="Arial" w:cstheme="majorHAnsi"/>
      <w:b/>
      <w:i/>
      <w:iCs/>
      <w:color w:val="auto"/>
      <w:lang w:val="fr"/>
    </w:rPr>
  </w:style>
  <w:style w:type="character" w:customStyle="1" w:styleId="TitreCar">
    <w:name w:val="Titre Car"/>
    <w:basedOn w:val="Policepardfaut"/>
    <w:link w:val="Titre"/>
    <w:rsid w:val="00AD2756"/>
    <w:rPr>
      <w:rFonts w:asciiTheme="majorHAnsi" w:hAnsiTheme="majorHAnsi" w:cstheme="majorHAnsi"/>
      <w:b/>
      <w:bCs/>
      <w:i/>
      <w:iCs/>
      <w:sz w:val="32"/>
      <w:szCs w:val="32"/>
      <w:lang w:val="fr"/>
    </w:rPr>
  </w:style>
  <w:style w:type="character" w:customStyle="1" w:styleId="Titre1Car">
    <w:name w:val="Titre 1 Car"/>
    <w:basedOn w:val="Policepardfaut"/>
    <w:link w:val="Titre1"/>
    <w:uiPriority w:val="9"/>
    <w:rsid w:val="00AD2756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AD2756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AD2756"/>
    <w:rPr>
      <w:rFonts w:asciiTheme="majorHAnsi" w:eastAsia="Nunito" w:hAnsiTheme="majorHAnsi" w:cstheme="majorHAnsi"/>
      <w:bCs/>
      <w:color w:val="000000"/>
      <w:sz w:val="17"/>
      <w:szCs w:val="17"/>
    </w:rPr>
  </w:style>
  <w:style w:type="paragraph" w:styleId="Sansinterligne">
    <w:name w:val="No Spacing"/>
    <w:uiPriority w:val="1"/>
    <w:qFormat/>
    <w:rsid w:val="00AD275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AD275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D2756"/>
    <w:rPr>
      <w:rFonts w:asciiTheme="majorHAnsi" w:eastAsia="Nunito" w:hAnsiTheme="majorHAnsi" w:cstheme="majorHAnsi"/>
      <w:bCs/>
      <w:color w:val="0000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275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7EA9"/>
    <w:pPr>
      <w:tabs>
        <w:tab w:val="clear" w:pos="284"/>
        <w:tab w:val="clear" w:pos="360"/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37EA9"/>
    <w:rPr>
      <w:rFonts w:asciiTheme="majorHAnsi" w:hAnsiTheme="majorHAnsi" w:cstheme="majorHAnsi"/>
      <w:bCs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37EA9"/>
    <w:pPr>
      <w:tabs>
        <w:tab w:val="clear" w:pos="284"/>
        <w:tab w:val="clear" w:pos="360"/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37EA9"/>
    <w:rPr>
      <w:rFonts w:asciiTheme="majorHAnsi" w:hAnsiTheme="majorHAnsi" w:cstheme="majorHAnsi"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140819"/>
    <w:pPr>
      <w:spacing w:line="240" w:lineRule="auto"/>
    </w:pPr>
    <w:rPr>
      <w:rFonts w:asciiTheme="majorHAnsi" w:hAnsiTheme="majorHAnsi" w:cstheme="majorHAnsi"/>
      <w:bCs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C34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C3435"/>
  </w:style>
  <w:style w:type="character" w:customStyle="1" w:styleId="CommentaireCar">
    <w:name w:val="Commentaire Car"/>
    <w:basedOn w:val="Policepardfaut"/>
    <w:link w:val="Commentaire"/>
    <w:uiPriority w:val="99"/>
    <w:rsid w:val="008C3435"/>
    <w:rPr>
      <w:rFonts w:asciiTheme="majorHAnsi" w:hAnsiTheme="majorHAnsi" w:cstheme="majorHAnsi"/>
      <w:bCs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3435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3435"/>
    <w:rPr>
      <w:rFonts w:asciiTheme="majorHAnsi" w:hAnsiTheme="majorHAnsi" w:cstheme="majorHAns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.gl@bibliosansfrontiere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duc.gl@bibliosansfrontier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e202d-2e40-45cd-a40d-939f39f175c9" xsi:nil="true"/>
    <lcf76f155ced4ddcb4097134ff3c332f xmlns="fe19eb53-cadf-4a7a-acb1-3649084a28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AA8C1022EAC4C94347653D2CAD083" ma:contentTypeVersion="19" ma:contentTypeDescription="Crée un document." ma:contentTypeScope="" ma:versionID="6c0ec9d58e6ec86b2f3e788430029ad6">
  <xsd:schema xmlns:xsd="http://www.w3.org/2001/XMLSchema" xmlns:xs="http://www.w3.org/2001/XMLSchema" xmlns:p="http://schemas.microsoft.com/office/2006/metadata/properties" xmlns:ns2="fe19eb53-cadf-4a7a-acb1-3649084a287f" xmlns:ns3="8c1e202d-2e40-45cd-a40d-939f39f175c9" targetNamespace="http://schemas.microsoft.com/office/2006/metadata/properties" ma:root="true" ma:fieldsID="4da7486f11b62ae4547d6379439b2cc5" ns2:_="" ns3:_="">
    <xsd:import namespace="fe19eb53-cadf-4a7a-acb1-3649084a287f"/>
    <xsd:import namespace="8c1e202d-2e40-45cd-a40d-939f39f17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eb53-cadf-4a7a-acb1-3649084a2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b5e0fa-d454-4f81-b661-7e314465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202d-2e40-45cd-a40d-939f39f17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ecaa21-e42f-446a-9747-729e9d14cc6d}" ma:internalName="TaxCatchAll" ma:showField="CatchAllData" ma:web="8c1e202d-2e40-45cd-a40d-939f39f17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5BCAD-A4F9-4846-9150-7A78B375EB18}">
  <ds:schemaRefs>
    <ds:schemaRef ds:uri="http://schemas.microsoft.com/office/2006/metadata/properties"/>
    <ds:schemaRef ds:uri="http://schemas.microsoft.com/office/infopath/2007/PartnerControls"/>
    <ds:schemaRef ds:uri="8c1e202d-2e40-45cd-a40d-939f39f175c9"/>
    <ds:schemaRef ds:uri="fe19eb53-cadf-4a7a-acb1-3649084a287f"/>
  </ds:schemaRefs>
</ds:datastoreItem>
</file>

<file path=customXml/itemProps2.xml><?xml version="1.0" encoding="utf-8"?>
<ds:datastoreItem xmlns:ds="http://schemas.openxmlformats.org/officeDocument/2006/customXml" ds:itemID="{19E7C317-AE2F-49BF-9CE8-72FF3F259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D0F4F-FD74-4AB5-83DA-A8A42C4D5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9eb53-cadf-4a7a-acb1-3649084a287f"/>
    <ds:schemaRef ds:uri="8c1e202d-2e40-45cd-a40d-939f39f17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Links>
    <vt:vector size="12" baseType="variant">
      <vt:variant>
        <vt:i4>6619145</vt:i4>
      </vt:variant>
      <vt:variant>
        <vt:i4>3</vt:i4>
      </vt:variant>
      <vt:variant>
        <vt:i4>0</vt:i4>
      </vt:variant>
      <vt:variant>
        <vt:i4>5</vt:i4>
      </vt:variant>
      <vt:variant>
        <vt:lpwstr>mailto:educ.gl@bibliosansfrontieres.org</vt:lpwstr>
      </vt:variant>
      <vt:variant>
        <vt:lpwstr/>
      </vt:variant>
      <vt:variant>
        <vt:i4>6619145</vt:i4>
      </vt:variant>
      <vt:variant>
        <vt:i4>0</vt:i4>
      </vt:variant>
      <vt:variant>
        <vt:i4>0</vt:i4>
      </vt:variant>
      <vt:variant>
        <vt:i4>5</vt:i4>
      </vt:variant>
      <vt:variant>
        <vt:lpwstr>mailto:educ.gl@bibliosansfrontieres.org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Touzé</dc:creator>
  <cp:keywords/>
  <dc:description/>
  <cp:lastModifiedBy>Graziella Nzoyihera</cp:lastModifiedBy>
  <cp:revision>3</cp:revision>
  <dcterms:created xsi:type="dcterms:W3CDTF">2025-04-09T14:34:00Z</dcterms:created>
  <dcterms:modified xsi:type="dcterms:W3CDTF">2025-04-09T14:37:00Z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0x010100C0DAA8C1022EAC4C94347653D2CAD083</vt:lpwstr>
  </property>
  <property fmtid="{D5CDD505-2E9C-101B-9397-08002B2CF9AE}" pid="3" name="MediaServiceImageTags">
    <vt:lpwstr/>
  </property>
</Properties>
</file>